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5" w:rsidRDefault="00875A15" w:rsidP="00875A15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:rsidR="00875A15" w:rsidRPr="00C85393" w:rsidRDefault="00875A15" w:rsidP="00875A15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875A15" w:rsidRDefault="00875A15" w:rsidP="00875A15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:rsidR="00875A15" w:rsidRPr="006B058E" w:rsidRDefault="00875A15" w:rsidP="00875A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6B058E">
        <w:rPr>
          <w:rFonts w:eastAsia="Times New Roman" w:cstheme="minorHAnsi"/>
          <w:sz w:val="24"/>
          <w:szCs w:val="24"/>
        </w:rPr>
        <w:t xml:space="preserve">O presente edital possui valor total de </w:t>
      </w:r>
      <w:r w:rsidRPr="006B058E">
        <w:rPr>
          <w:rFonts w:eastAsia="Times New Roman" w:cstheme="minorHAnsi"/>
          <w:b/>
          <w:sz w:val="24"/>
          <w:szCs w:val="24"/>
        </w:rPr>
        <w:t xml:space="preserve">R$ </w:t>
      </w:r>
      <w:r w:rsidR="006B058E" w:rsidRPr="006B058E">
        <w:rPr>
          <w:rFonts w:cstheme="minorHAnsi"/>
          <w:b/>
          <w:sz w:val="24"/>
          <w:szCs w:val="24"/>
        </w:rPr>
        <w:t>164.997,21</w:t>
      </w:r>
      <w:proofErr w:type="gramStart"/>
      <w:r w:rsidR="006B058E" w:rsidRPr="006B058E">
        <w:rPr>
          <w:rFonts w:cstheme="minorHAnsi"/>
          <w:sz w:val="24"/>
          <w:szCs w:val="24"/>
        </w:rPr>
        <w:t xml:space="preserve"> </w:t>
      </w:r>
      <w:r w:rsidRPr="006B058E">
        <w:rPr>
          <w:rFonts w:cstheme="minorHAnsi"/>
          <w:sz w:val="24"/>
          <w:szCs w:val="24"/>
        </w:rPr>
        <w:t xml:space="preserve"> </w:t>
      </w:r>
      <w:proofErr w:type="gramEnd"/>
      <w:r w:rsidRPr="006B058E">
        <w:rPr>
          <w:rFonts w:eastAsia="Times New Roman" w:cstheme="minorHAnsi"/>
          <w:sz w:val="24"/>
          <w:szCs w:val="24"/>
        </w:rPr>
        <w:t>distribuídos da seguinte forma:</w:t>
      </w:r>
    </w:p>
    <w:tbl>
      <w:tblPr>
        <w:tblStyle w:val="Tabelacomgrade"/>
        <w:tblW w:w="1105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25"/>
        <w:gridCol w:w="1569"/>
        <w:gridCol w:w="1843"/>
        <w:gridCol w:w="1843"/>
        <w:gridCol w:w="850"/>
        <w:gridCol w:w="1276"/>
        <w:gridCol w:w="1276"/>
        <w:gridCol w:w="1276"/>
      </w:tblGrid>
      <w:tr w:rsidR="00875A15" w:rsidTr="006517AF">
        <w:tc>
          <w:tcPr>
            <w:tcW w:w="1125" w:type="dxa"/>
            <w:shd w:val="clear" w:color="auto" w:fill="92D050"/>
          </w:tcPr>
          <w:p w:rsidR="00875A15" w:rsidRPr="00157AE9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</w:t>
            </w:r>
          </w:p>
        </w:tc>
        <w:tc>
          <w:tcPr>
            <w:tcW w:w="1569" w:type="dxa"/>
            <w:shd w:val="clear" w:color="auto" w:fill="92D050"/>
          </w:tcPr>
          <w:p w:rsidR="00875A15" w:rsidRPr="00157AE9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Modalidade/categoria </w:t>
            </w:r>
          </w:p>
        </w:tc>
        <w:tc>
          <w:tcPr>
            <w:tcW w:w="1843" w:type="dxa"/>
            <w:shd w:val="clear" w:color="auto" w:fill="92D050"/>
          </w:tcPr>
          <w:p w:rsidR="00875A15" w:rsidRPr="00157AE9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843" w:type="dxa"/>
            <w:shd w:val="clear" w:color="auto" w:fill="92D050"/>
          </w:tcPr>
          <w:p w:rsidR="00875A15" w:rsidRPr="006517AF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517AF">
              <w:rPr>
                <w:b/>
              </w:rPr>
              <w:t xml:space="preserve">Tipo de Proponente </w:t>
            </w:r>
          </w:p>
        </w:tc>
        <w:tc>
          <w:tcPr>
            <w:tcW w:w="850" w:type="dxa"/>
            <w:shd w:val="clear" w:color="auto" w:fill="92D050"/>
          </w:tcPr>
          <w:p w:rsidR="00875A15" w:rsidRPr="00157AE9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Vagas </w:t>
            </w:r>
          </w:p>
        </w:tc>
        <w:tc>
          <w:tcPr>
            <w:tcW w:w="1276" w:type="dxa"/>
            <w:shd w:val="clear" w:color="auto" w:fill="92D050"/>
          </w:tcPr>
          <w:p w:rsidR="00875A15" w:rsidRPr="00157AE9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Valor por projeto </w:t>
            </w:r>
          </w:p>
        </w:tc>
        <w:tc>
          <w:tcPr>
            <w:tcW w:w="1276" w:type="dxa"/>
            <w:shd w:val="clear" w:color="auto" w:fill="92D050"/>
          </w:tcPr>
          <w:p w:rsidR="00875A15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Duração/mês </w:t>
            </w:r>
          </w:p>
        </w:tc>
        <w:tc>
          <w:tcPr>
            <w:tcW w:w="1276" w:type="dxa"/>
            <w:shd w:val="clear" w:color="auto" w:fill="92D050"/>
          </w:tcPr>
          <w:p w:rsidR="00875A15" w:rsidRDefault="006517AF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</w:tr>
      <w:tr w:rsidR="00875A15" w:rsidRPr="006B058E" w:rsidTr="00F61BC2">
        <w:tc>
          <w:tcPr>
            <w:tcW w:w="1125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Fomento Cultural</w:t>
            </w:r>
          </w:p>
        </w:tc>
        <w:tc>
          <w:tcPr>
            <w:tcW w:w="1569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Musica 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Realização de Oficinas de Musica e</w:t>
            </w: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  <w:proofErr w:type="gramEnd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precursão 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Pessoa Física</w:t>
            </w:r>
          </w:p>
        </w:tc>
        <w:tc>
          <w:tcPr>
            <w:tcW w:w="850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A66EC2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2.200</w:t>
            </w:r>
            <w:r w:rsidR="00875A15"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75A15" w:rsidRPr="006B058E" w:rsidRDefault="00A66EC2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22.000,00</w:t>
            </w:r>
          </w:p>
        </w:tc>
      </w:tr>
      <w:tr w:rsidR="00875A15" w:rsidRPr="006B058E" w:rsidTr="00F61BC2">
        <w:tc>
          <w:tcPr>
            <w:tcW w:w="1125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Fomento Cultural</w:t>
            </w:r>
          </w:p>
        </w:tc>
        <w:tc>
          <w:tcPr>
            <w:tcW w:w="1569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Festival 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Festival literário </w:t>
            </w:r>
          </w:p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Fliterra</w:t>
            </w:r>
            <w:proofErr w:type="spellEnd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Jurídica </w:t>
            </w:r>
          </w:p>
        </w:tc>
        <w:tc>
          <w:tcPr>
            <w:tcW w:w="850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6B058E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62.400,00</w:t>
            </w:r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6B058E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62.400,00</w:t>
            </w:r>
          </w:p>
        </w:tc>
      </w:tr>
      <w:tr w:rsidR="00875A15" w:rsidRPr="006B058E" w:rsidTr="00F61BC2">
        <w:tc>
          <w:tcPr>
            <w:tcW w:w="1125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Fomento Cultural</w:t>
            </w:r>
          </w:p>
        </w:tc>
        <w:tc>
          <w:tcPr>
            <w:tcW w:w="1569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Formação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Formação/Oficina de artesanato </w:t>
            </w:r>
          </w:p>
        </w:tc>
        <w:tc>
          <w:tcPr>
            <w:tcW w:w="1843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</w:t>
            </w: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Jurídica/física</w:t>
            </w:r>
            <w:proofErr w:type="gramEnd"/>
          </w:p>
        </w:tc>
        <w:tc>
          <w:tcPr>
            <w:tcW w:w="850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2.200,00</w:t>
            </w:r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22.000,00</w:t>
            </w:r>
          </w:p>
        </w:tc>
      </w:tr>
      <w:tr w:rsidR="006B058E" w:rsidRPr="006B058E" w:rsidTr="00F61BC2">
        <w:tc>
          <w:tcPr>
            <w:tcW w:w="1125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Fomento Cultural</w:t>
            </w:r>
          </w:p>
        </w:tc>
        <w:tc>
          <w:tcPr>
            <w:tcW w:w="1569" w:type="dxa"/>
          </w:tcPr>
          <w:p w:rsidR="006B058E" w:rsidRPr="006B058E" w:rsidRDefault="006B058E" w:rsidP="006F5F9F">
            <w:pPr>
              <w:spacing w:before="100" w:beforeAutospacing="1" w:after="100" w:afterAutospacing="1" w:line="360" w:lineRule="auto"/>
              <w:rPr>
                <w:b/>
              </w:rPr>
            </w:pPr>
            <w:r w:rsidRPr="006B058E">
              <w:rPr>
                <w:b/>
              </w:rPr>
              <w:t>Artes</w:t>
            </w:r>
          </w:p>
          <w:p w:rsidR="006B058E" w:rsidRPr="006B058E" w:rsidRDefault="006B058E" w:rsidP="006F5F9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</w:pPr>
            <w:r w:rsidRPr="006B058E">
              <w:rPr>
                <w:b/>
              </w:rPr>
              <w:t xml:space="preserve">Visuais </w:t>
            </w:r>
          </w:p>
        </w:tc>
        <w:tc>
          <w:tcPr>
            <w:tcW w:w="1843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b/>
              </w:rPr>
              <w:t>Decoração cênica e ambientação temática das tendas e espaços do FLITERRA</w:t>
            </w:r>
          </w:p>
        </w:tc>
        <w:tc>
          <w:tcPr>
            <w:tcW w:w="1843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Pessoa Jurídica</w:t>
            </w:r>
          </w:p>
        </w:tc>
        <w:tc>
          <w:tcPr>
            <w:tcW w:w="850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17.000,00</w:t>
            </w:r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17.000,00</w:t>
            </w:r>
          </w:p>
        </w:tc>
      </w:tr>
      <w:tr w:rsidR="006B058E" w:rsidRPr="006B058E" w:rsidTr="00F61BC2">
        <w:tc>
          <w:tcPr>
            <w:tcW w:w="1125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Fomento Cultural </w:t>
            </w:r>
          </w:p>
        </w:tc>
        <w:tc>
          <w:tcPr>
            <w:tcW w:w="1569" w:type="dxa"/>
          </w:tcPr>
          <w:p w:rsid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Técnicas e Produção Cultural </w:t>
            </w:r>
          </w:p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Sonorização/Iluminação</w:t>
            </w:r>
            <w:proofErr w:type="gramStart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End"/>
            <w:r w:rsidRPr="006B058E">
              <w:rPr>
                <w:b/>
              </w:rPr>
              <w:t>Serviços técnicos de sonorização e iluminação para o Festival Municipal de Música</w:t>
            </w:r>
          </w:p>
        </w:tc>
        <w:tc>
          <w:tcPr>
            <w:tcW w:w="1843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Pessoa Jurídica </w:t>
            </w:r>
          </w:p>
        </w:tc>
        <w:tc>
          <w:tcPr>
            <w:tcW w:w="850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6.577,21 </w:t>
            </w:r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B058E" w:rsidRPr="006B058E" w:rsidRDefault="006B058E" w:rsidP="006F5F9F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6.577,21 </w:t>
            </w:r>
          </w:p>
        </w:tc>
      </w:tr>
    </w:tbl>
    <w:p w:rsidR="002E6B51" w:rsidRPr="006B058E" w:rsidRDefault="002E6B51" w:rsidP="00875A15">
      <w:p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1105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25"/>
        <w:gridCol w:w="1711"/>
        <w:gridCol w:w="1701"/>
        <w:gridCol w:w="1843"/>
        <w:gridCol w:w="850"/>
        <w:gridCol w:w="1276"/>
        <w:gridCol w:w="1276"/>
        <w:gridCol w:w="1276"/>
      </w:tblGrid>
      <w:tr w:rsidR="00875A15" w:rsidRPr="006B058E" w:rsidTr="002E6B51">
        <w:tc>
          <w:tcPr>
            <w:tcW w:w="1125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Meta</w:t>
            </w:r>
          </w:p>
        </w:tc>
        <w:tc>
          <w:tcPr>
            <w:tcW w:w="1711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Modalidade/categoria </w:t>
            </w:r>
          </w:p>
        </w:tc>
        <w:tc>
          <w:tcPr>
            <w:tcW w:w="1701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843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b/>
              </w:rPr>
              <w:t xml:space="preserve">Tipo de Proponente </w:t>
            </w:r>
          </w:p>
        </w:tc>
        <w:tc>
          <w:tcPr>
            <w:tcW w:w="850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>Qde</w:t>
            </w:r>
            <w:proofErr w:type="spellEnd"/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Vagas </w:t>
            </w:r>
          </w:p>
        </w:tc>
        <w:tc>
          <w:tcPr>
            <w:tcW w:w="1276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Valor por projeto </w:t>
            </w:r>
          </w:p>
        </w:tc>
        <w:tc>
          <w:tcPr>
            <w:tcW w:w="1276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Duração/mês </w:t>
            </w:r>
          </w:p>
        </w:tc>
        <w:tc>
          <w:tcPr>
            <w:tcW w:w="1276" w:type="dxa"/>
            <w:shd w:val="clear" w:color="auto" w:fill="FFFF00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058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Valor total </w:t>
            </w:r>
          </w:p>
        </w:tc>
      </w:tr>
      <w:tr w:rsidR="00875A15" w:rsidRPr="006B058E" w:rsidTr="002E6B51">
        <w:tc>
          <w:tcPr>
            <w:tcW w:w="1125" w:type="dxa"/>
          </w:tcPr>
          <w:p w:rsidR="00875A15" w:rsidRPr="006B058E" w:rsidRDefault="00875A15" w:rsidP="00F61BC2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Fomento Cultural</w:t>
            </w:r>
          </w:p>
        </w:tc>
        <w:tc>
          <w:tcPr>
            <w:tcW w:w="1711" w:type="dxa"/>
          </w:tcPr>
          <w:p w:rsidR="00875A15" w:rsidRPr="006B058E" w:rsidRDefault="00875A15" w:rsidP="00F61BC2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Musica/premiação</w:t>
            </w: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( </w:t>
            </w:r>
            <w:r w:rsidR="00A056B9" w:rsidRPr="006B058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não é necessário apresentar plano de trabalho, somente preencher ficha de inscrição </w:t>
            </w:r>
          </w:p>
        </w:tc>
        <w:tc>
          <w:tcPr>
            <w:tcW w:w="1701" w:type="dxa"/>
          </w:tcPr>
          <w:p w:rsidR="00875A15" w:rsidRPr="006B058E" w:rsidRDefault="00875A15" w:rsidP="00F61BC2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Recurso reservado à realização do Tradicional Festival de música e premiação</w:t>
            </w: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e troféus </w:t>
            </w:r>
          </w:p>
        </w:tc>
        <w:tc>
          <w:tcPr>
            <w:tcW w:w="1843" w:type="dxa"/>
          </w:tcPr>
          <w:p w:rsidR="00875A15" w:rsidRPr="006B058E" w:rsidRDefault="00875A15" w:rsidP="00A056B9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Prefeitura Municipal </w:t>
            </w:r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>Secretaria Municipal de Educação e Cultura</w:t>
            </w:r>
            <w:proofErr w:type="gramStart"/>
            <w:r w:rsidR="00A056B9"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875A15" w:rsidRPr="006B058E" w:rsidRDefault="00875A15" w:rsidP="00F61BC2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6B058E" w:rsidP="00F61BC2">
            <w:pPr>
              <w:spacing w:before="240"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35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875A15" w:rsidRPr="006B058E" w:rsidRDefault="00875A15" w:rsidP="00F61BC2">
            <w:pPr>
              <w:spacing w:before="240" w:after="20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875A15" w:rsidRPr="006B058E" w:rsidRDefault="006B058E" w:rsidP="00A056B9">
            <w:pPr>
              <w:spacing w:before="240" w:after="20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35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Pr="006B058E">
              <w:rPr>
                <w:rFonts w:ascii="Arial" w:eastAsia="Calibri" w:hAnsi="Arial" w:cs="Arial"/>
                <w:b/>
                <w:sz w:val="20"/>
                <w:szCs w:val="20"/>
              </w:rPr>
              <w:t>000,00</w:t>
            </w:r>
          </w:p>
        </w:tc>
      </w:tr>
    </w:tbl>
    <w:p w:rsidR="00875A15" w:rsidRDefault="00875A15" w:rsidP="00875A15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 DESCRIÇÃO DAS CATEGORIAS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2.1 Orientações Gerais para Apresentação dos Projetos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agentes culturais interessados deverão apresentar Plano de Trabalho contendo objetivos, metodologia, cronograma de execução, público-alvo, contrapartida social, orçamento detalhado e resultados esperados, demonstrando a relevância cultural, artística, educativa e social da proposta para o Município de Terra Boa-PR.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projetos serão analisados por Comissão de Acompanhamento, Fiscalização, Avaliação e Seleção, observando os critérios previstos no edital, especialmente: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relevância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cultural e impacto social;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contribuição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o fortalecimento da cultura local;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democratização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 acesso à cultura;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viabilidade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técnica e financeira;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capacidade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execução;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promoção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inclusão, diversidade e acessibilidade;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formação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valorização de artistas locais; </w:t>
      </w:r>
    </w:p>
    <w:p w:rsidR="00390675" w:rsidRPr="00390675" w:rsidRDefault="00390675" w:rsidP="006517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alcance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comunitário das ações propostas. 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 propostas deverão prever ações acessíveis e inclusivas, garantindo participação ampla da comunidade, especialmente crianças, adolescentes, jovens, idosos e pessoas com deficiência.</w:t>
      </w:r>
    </w:p>
    <w:p w:rsidR="00390675" w:rsidRPr="00390675" w:rsidRDefault="00390675" w:rsidP="006517AF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2.2 Categoria</w:t>
      </w:r>
      <w:proofErr w:type="gramEnd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Música – Oficinas de Musicalização e Percussão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categoria tem como objetivo fomentar ações de formação musical no município, incentivando o desenvolvimento artístico, cultural e educacional da população por meio da música.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selecionados projetos voltados à realização de oficinas de musicalização, iniciação musical, canto, ritmo e percussão, promovendo o acesso à arte e à cultura, especialmente para crianças, adolescentes e jovens.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projetos deverão:</w:t>
      </w:r>
    </w:p>
    <w:p w:rsidR="00390675" w:rsidRPr="00390675" w:rsidRDefault="00390675" w:rsidP="006517A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apresentar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proposta pedagógica e metodologia de ensino; </w:t>
      </w:r>
    </w:p>
    <w:p w:rsidR="00390675" w:rsidRPr="00390675" w:rsidRDefault="00390675" w:rsidP="006517A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ofertar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aulas com carga mínima de 03 horas semanais; </w:t>
      </w:r>
    </w:p>
    <w:p w:rsidR="00390675" w:rsidRPr="00390675" w:rsidRDefault="00390675" w:rsidP="006517A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cronograma de execução; </w:t>
      </w:r>
    </w:p>
    <w:p w:rsidR="00390675" w:rsidRPr="00390675" w:rsidRDefault="00390675" w:rsidP="006517A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prever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ações de integração comunitária e apresentações públicas, quando possível; </w:t>
      </w:r>
    </w:p>
    <w:p w:rsidR="00390675" w:rsidRPr="00390675" w:rsidRDefault="00390675" w:rsidP="006517A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estimular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valorização da cultura musical local e regional. </w:t>
      </w:r>
    </w:p>
    <w:p w:rsidR="006B058E" w:rsidRPr="00390675" w:rsidRDefault="00390675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valorizadas propostas que promovam inclusão social, formação cultural continuada e fortalecimento de novos talentos artísticos do município.</w:t>
      </w:r>
      <w:bookmarkStart w:id="0" w:name="_GoBack"/>
      <w:bookmarkEnd w:id="0"/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2.4 Categoria</w:t>
      </w:r>
      <w:proofErr w:type="gramEnd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Festival Literário – FLITERRA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categoria Festival Literário destina-se à realização do FLITERRA – Festival Literário de Terra Boa, ação cultural voltada ao incentivo da leitura, da escrita, da produção literária e da valorização da identidade cultural local.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festival será desenvolvido em parceria com a Prefeitura do Município de Terra Boa e Secretaria Municipal de Educação e Cultura, podendo envolver escolas, artistas, escritores, contadores de histórias, grupos culturais e comunidade em geral.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recursos desta categoria poderão ser utilizados para: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organização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produção do evento; </w:t>
      </w:r>
    </w:p>
    <w:p w:rsidR="00390675" w:rsidRPr="00A66EC2" w:rsidRDefault="00390675" w:rsidP="00A66EC2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contratação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atrações culturais e artísticas; 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concursos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poesia e produção textual; </w:t>
      </w:r>
    </w:p>
    <w:p w:rsidR="00A66EC2" w:rsidRDefault="00A66EC2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premiações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:rsidR="00390675" w:rsidRPr="00390675" w:rsidRDefault="00A66EC2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troféus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participação ;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locação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estruturas e equipamentos; 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cenografia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decoração temática; 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ações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contação</w:t>
      </w:r>
      <w:proofErr w:type="spell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histórias e intervenções culturais; </w:t>
      </w:r>
    </w:p>
    <w:p w:rsidR="00390675" w:rsidRPr="00390675" w:rsidRDefault="00390675" w:rsidP="006517A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atividades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educativas relacionadas à literatura e cultura popular. 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proposta deverá apresentar planejamento detalhado do evento, programação cultural, estratégias de participação popular e ações de incentivo à leitura e formação cultural.</w:t>
      </w:r>
    </w:p>
    <w:p w:rsidR="002E6B51" w:rsidRPr="00390675" w:rsidRDefault="00390675" w:rsidP="002E6B5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valorizadas propostas que promovam integração entre cultura e educação, valorização de escritores locais e fortalecimento da identidade cultural do município.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2.5 Categoria</w:t>
      </w:r>
      <w:proofErr w:type="gramEnd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Formação/Oficina – Artesanato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categoria tem como finalidade incentivar ações de formação cultural por meio do artesanato, reconhecendo os saberes tradicionais, a economia criativa e a valorização das práticas manuais como patrimônio cultural.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selecionados projetos destinados à realização de oficinas de artesanato para crianças, jovens, adultos ou idosos.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projetos deverão:</w:t>
      </w:r>
    </w:p>
    <w:p w:rsidR="00390675" w:rsidRPr="00390675" w:rsidRDefault="00390675" w:rsidP="006517A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apresentar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metodologia formativa; </w:t>
      </w:r>
    </w:p>
    <w:p w:rsidR="00390675" w:rsidRPr="00390675" w:rsidRDefault="00390675" w:rsidP="006517A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técnicas e materiais a serem utilizados; </w:t>
      </w:r>
    </w:p>
    <w:p w:rsidR="00390675" w:rsidRPr="00390675" w:rsidRDefault="00390675" w:rsidP="006517A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demonstrar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viabilidade de execução; </w:t>
      </w:r>
    </w:p>
    <w:p w:rsidR="00390675" w:rsidRPr="00390675" w:rsidRDefault="00390675" w:rsidP="006517A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estimular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criatividade, geração de renda e valorização cultural; </w:t>
      </w:r>
    </w:p>
    <w:p w:rsidR="00390675" w:rsidRPr="00390675" w:rsidRDefault="00390675" w:rsidP="006517A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promover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participação comunitária e inclusão social. </w:t>
      </w:r>
    </w:p>
    <w:p w:rsidR="00743C02" w:rsidRPr="00390675" w:rsidRDefault="00390675" w:rsidP="00743C0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Serão valorizadas propostas que incentivem o reaproveitamento de materiais, a sustentabilidade, os saberes tradicionais e a valorização da cultura regional.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2.6 Categoria</w:t>
      </w:r>
      <w:proofErr w:type="gramEnd"/>
      <w:r w:rsidRPr="0039067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Música/Premiação – Festival Municipal de Música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categoria destina-se exclusivamente à realização do Tradicional Festival Municipal de Música, promovido pela Prefeitura Municipal de Terra Boa, por meio da Secretaria Municipal de Educação e Cultura, com recursos da Política Nacional Aldir Blanc.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recursos serão utilizados para custear: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estrutura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organização do evento;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sonorização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iluminação e palco;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serviços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técnicos especializados;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material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divulgação;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apoio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operacional;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contratação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jurados e equipe técnica;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premiação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participantes vencedores; </w:t>
      </w:r>
    </w:p>
    <w:p w:rsidR="00390675" w:rsidRPr="00390675" w:rsidRDefault="00390675" w:rsidP="006517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demais</w:t>
      </w:r>
      <w:proofErr w:type="gramEnd"/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despesas necessárias à realização do festival. </w:t>
      </w:r>
    </w:p>
    <w:p w:rsidR="00390675" w:rsidRPr="00390675" w:rsidRDefault="00390675" w:rsidP="006517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Nesta categoria específica </w:t>
      </w:r>
      <w:r w:rsidRPr="006B058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não haverá</w:t>
      </w: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seleção de projetos culturais mediante Plano de Trabalho.</w:t>
      </w:r>
    </w:p>
    <w:p w:rsidR="007A6275" w:rsidRDefault="00390675" w:rsidP="00A056B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agentes culturais interessados em participar do Festival de Música deverão apenas realizar inscrição conforme regulamento específico do evento, mediante preenchimento da ficha de inscrição</w:t>
      </w:r>
      <w:r w:rsidR="006517A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escolha da categoria</w:t>
      </w:r>
      <w:r w:rsidRPr="003906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observância dos critérios estabelecidos pela organização.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2.7 Categoria</w:t>
      </w:r>
      <w:proofErr w:type="gramEnd"/>
      <w:r w:rsidRPr="006B058E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Artes Visuais – Decoração Cênica para o FLITERRA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categoria tem como objetivo fomentar a produção artística visual e valorizar os profissionais das artes visuais por meio da criação e execução de decoração cênica temática para o FLITERRA – Festival Literário de Terra Boa.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Serão selecionados projetos destinados à concepção, produção, montagem e ambientação de espaços temáticos, tendas </w:t>
      </w: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literárias e cenários artísticos que </w:t>
      </w: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contribuam para a identidade visual do festival, promovendo experiências culturais, educativas e interativas ao público participante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projetos deverão contemplar:</w:t>
      </w:r>
    </w:p>
    <w:p w:rsidR="006B058E" w:rsidRPr="006B058E" w:rsidRDefault="006B058E" w:rsidP="006B058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criação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projeto artístico e cenográfico alinhado à temática do festival; </w:t>
      </w:r>
    </w:p>
    <w:p w:rsidR="006B058E" w:rsidRPr="006B058E" w:rsidRDefault="006B058E" w:rsidP="006B058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decoração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tendas, espaços de leitura, áreas de convivência e ambientes destinados às atividades culturais; </w:t>
      </w:r>
    </w:p>
    <w:p w:rsidR="006B058E" w:rsidRPr="006B058E" w:rsidRDefault="006B058E" w:rsidP="006B058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utilização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elementos visuais que estimulem a imaginação, a leitura e a valorização da literatura; </w:t>
      </w:r>
    </w:p>
    <w:p w:rsidR="006B058E" w:rsidRPr="006B058E" w:rsidRDefault="006B058E" w:rsidP="006B058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instalação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manutenção e desmontagem dos elementos decorativos; </w:t>
      </w:r>
    </w:p>
    <w:p w:rsidR="006B058E" w:rsidRPr="006B058E" w:rsidRDefault="006B058E" w:rsidP="006B058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observância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das normas de segurança e acessibilidade. 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valorizadas propostas que utilizem materiais sustentáveis, valorizem artistas locais e promovam a integração entre artes visuais, literatura e patrimônio cultural.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recursos desta categoria poderão ser utilizados para aquisição de materiais, produção artística, confecção de peças decorativas, montagem, transporte, instalação e demais serviços necessários à execução do projeto.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2.8 Categoria</w:t>
      </w:r>
      <w:proofErr w:type="gramEnd"/>
      <w:r w:rsidRPr="006B058E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 xml:space="preserve"> Sonorização e Iluminação – Festival Municipal de Música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 categoria tem por finalidade garantir a qualidade técnica e artística do Tradicional Festival Municipal de Música, proporcionando infraestrutura adequada para apresentações musicais, valorização dos artistas participantes e melhor experiência ao público.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selecionados projetos destinados à prestação de serviços especializados de sonorização, iluminação cênica e suporte técnico para realização do festival.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projetos deverão contemplar:</w:t>
      </w:r>
    </w:p>
    <w:p w:rsidR="006B058E" w:rsidRPr="006B058E" w:rsidRDefault="006B058E" w:rsidP="006B058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fornecimento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instalação e operação de equipamentos de som profissional; </w:t>
      </w:r>
    </w:p>
    <w:p w:rsidR="006B058E" w:rsidRPr="006B058E" w:rsidRDefault="006B058E" w:rsidP="006B058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fornecimento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instalação e operação de equipamentos de iluminação cênica; </w:t>
      </w:r>
    </w:p>
    <w:p w:rsidR="006B058E" w:rsidRPr="006B058E" w:rsidRDefault="006B058E" w:rsidP="006B058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equipe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técnica qualificada para montagem, operação e desmontagem dos equipamentos; </w:t>
      </w:r>
    </w:p>
    <w:p w:rsidR="006B058E" w:rsidRPr="006B058E" w:rsidRDefault="006B058E" w:rsidP="006B058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suporte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técnico durante todas as etapas do evento; </w:t>
      </w:r>
    </w:p>
    <w:p w:rsidR="006B058E" w:rsidRPr="006B058E" w:rsidRDefault="006B058E" w:rsidP="006B058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atendimento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às normas de segurança aplicáveis. 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proposta deverá apresentar detalhamento dos equipamentos disponibilizados, equipe técnica envolvida, cronograma de execução e condições operacionais necessárias para garantir a qualidade do evento.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valorizadas propostas que demonstrem capacidade técnica, experiência na realização de eventos culturais e compatibilidade entre a estrutura ofertada e as ne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cessidades do Festival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Música.</w:t>
      </w:r>
    </w:p>
    <w:p w:rsidR="006B058E" w:rsidRPr="006B058E" w:rsidRDefault="006B058E" w:rsidP="006B058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B05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recursos desta categoria poderão ser utilizados para locação de equipamentos, contratação de profissionais especializados, transporte, montagem, operação e desmontagem da estrutura técnica necessária à realização do evento.</w:t>
      </w:r>
    </w:p>
    <w:p w:rsidR="006B058E" w:rsidRPr="00A056B9" w:rsidRDefault="006B058E" w:rsidP="00A056B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6B058E" w:rsidRPr="00A05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1F2"/>
    <w:multiLevelType w:val="multilevel"/>
    <w:tmpl w:val="A9A6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D36A6"/>
    <w:multiLevelType w:val="multilevel"/>
    <w:tmpl w:val="9E80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B6A1A"/>
    <w:multiLevelType w:val="multilevel"/>
    <w:tmpl w:val="547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F757C"/>
    <w:multiLevelType w:val="multilevel"/>
    <w:tmpl w:val="DA2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D48C0"/>
    <w:multiLevelType w:val="multilevel"/>
    <w:tmpl w:val="591E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E66CF"/>
    <w:multiLevelType w:val="multilevel"/>
    <w:tmpl w:val="C86C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32A25"/>
    <w:multiLevelType w:val="multilevel"/>
    <w:tmpl w:val="1AA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90701"/>
    <w:multiLevelType w:val="multilevel"/>
    <w:tmpl w:val="E8EE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5"/>
    <w:rsid w:val="00153D4C"/>
    <w:rsid w:val="002E6B51"/>
    <w:rsid w:val="00390675"/>
    <w:rsid w:val="006517AF"/>
    <w:rsid w:val="006B058E"/>
    <w:rsid w:val="00743C02"/>
    <w:rsid w:val="007A6275"/>
    <w:rsid w:val="00875A15"/>
    <w:rsid w:val="00A056B9"/>
    <w:rsid w:val="00A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15"/>
    <w:pPr>
      <w:spacing w:after="160" w:line="256" w:lineRule="auto"/>
    </w:pPr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390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390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5A15"/>
    <w:pPr>
      <w:ind w:left="720"/>
      <w:contextualSpacing/>
    </w:pPr>
  </w:style>
  <w:style w:type="table" w:styleId="Tabelacomgrade">
    <w:name w:val="Table Grid"/>
    <w:basedOn w:val="Tabelanormal"/>
    <w:uiPriority w:val="39"/>
    <w:rsid w:val="00875A1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906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06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15"/>
    <w:pPr>
      <w:spacing w:after="160" w:line="256" w:lineRule="auto"/>
    </w:pPr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390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390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5A15"/>
    <w:pPr>
      <w:ind w:left="720"/>
      <w:contextualSpacing/>
    </w:pPr>
  </w:style>
  <w:style w:type="table" w:styleId="Tabelacomgrade">
    <w:name w:val="Table Grid"/>
    <w:basedOn w:val="Tabelanormal"/>
    <w:uiPriority w:val="39"/>
    <w:rsid w:val="00875A1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906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06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1450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2026-05-27T13:50:00Z</dcterms:created>
  <dcterms:modified xsi:type="dcterms:W3CDTF">2026-06-03T13:13:00Z</dcterms:modified>
</cp:coreProperties>
</file>